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B17C" w14:textId="77777777" w:rsidR="00AE079F" w:rsidRDefault="00136BB2">
      <w:pPr>
        <w:pStyle w:val="Titolo"/>
        <w:rPr>
          <w:sz w:val="44"/>
          <w:szCs w:val="44"/>
        </w:rPr>
      </w:pPr>
      <w:bookmarkStart w:id="0" w:name="_v9n8t78jk2r8" w:colFirst="0" w:colLast="0"/>
      <w:bookmarkEnd w:id="0"/>
      <w:r>
        <w:br/>
      </w:r>
      <w:r>
        <w:t>Dichiarazione di accessibilità sito web per i Soggetti Privati di cui all’art. 3 comma 1 della legge 9 gennaio 2004, n.4</w:t>
      </w:r>
      <w:r>
        <w:br w:type="page"/>
      </w:r>
    </w:p>
    <w:p w14:paraId="52ADB17D" w14:textId="77777777" w:rsidR="00AE079F" w:rsidRDefault="00136BB2">
      <w:pPr>
        <w:pStyle w:val="Titolo1"/>
      </w:pPr>
      <w:bookmarkStart w:id="1" w:name="_nfm9k8k88o7l" w:colFirst="0" w:colLast="0"/>
      <w:bookmarkEnd w:id="1"/>
      <w:r>
        <w:lastRenderedPageBreak/>
        <w:t>Dichiarazione</w:t>
      </w:r>
    </w:p>
    <w:p w14:paraId="52ADB17E" w14:textId="77777777" w:rsidR="00AE079F" w:rsidRDefault="00136BB2">
      <w:pPr>
        <w:spacing w:after="240"/>
        <w:rPr>
          <w:rFonts w:ascii="Atkinson Hyperlegible" w:eastAsia="Atkinson Hyperlegible" w:hAnsi="Atkinson Hyperlegible" w:cs="Atkinson Hyperlegible"/>
        </w:rPr>
      </w:pPr>
      <w:r>
        <w:rPr>
          <w:rFonts w:ascii="Atkinson Hyperlegible" w:eastAsia="Atkinson Hyperlegible" w:hAnsi="Atkinson Hyperlegible" w:cs="Atkinson Hyperlegible"/>
          <w:b/>
        </w:rPr>
        <w:t>SOLEDAD S.r.l. UNIPERSONALE Verona</w:t>
      </w:r>
      <w:r>
        <w:rPr>
          <w:rFonts w:ascii="Atkinson Hyperlegible" w:eastAsia="Atkinson Hyperlegible" w:hAnsi="Atkinson Hyperlegible" w:cs="Atkinson Hyperlegible"/>
          <w:b/>
          <w:sz w:val="26"/>
          <w:szCs w:val="26"/>
        </w:rPr>
        <w:t xml:space="preserve"> </w:t>
      </w:r>
      <w:r>
        <w:rPr>
          <w:rFonts w:ascii="Atkinson Hyperlegible" w:eastAsia="Atkinson Hyperlegible" w:hAnsi="Atkinson Hyperlegible" w:cs="Atkinson Hyperlegible"/>
        </w:rPr>
        <w:t>si impegna a rendere il proprio sito Web</w:t>
      </w:r>
      <w:r>
        <w:rPr>
          <w:rFonts w:ascii="Atkinson Hyperlegible" w:eastAsia="Atkinson Hyperlegible" w:hAnsi="Atkinson Hyperlegible" w:cs="Atkinson Hyperlegible"/>
        </w:rPr>
        <w:t xml:space="preserve"> accessibile, conformemente alla legge 9 gennaio 2004, n. 4. La presente dichiarazione di accessibilità si applica a:</w:t>
      </w:r>
      <w:r>
        <w:rPr>
          <w:rFonts w:ascii="Atkinson Hyperlegible" w:eastAsia="Atkinson Hyperlegible" w:hAnsi="Atkinson Hyperlegible" w:cs="Atkinson Hyperlegible"/>
          <w:b/>
          <w:sz w:val="26"/>
          <w:szCs w:val="26"/>
        </w:rPr>
        <w:t xml:space="preserve"> </w:t>
      </w:r>
      <w:r>
        <w:rPr>
          <w:rFonts w:ascii="Atkinson Hyperlegible" w:eastAsia="Atkinson Hyperlegible" w:hAnsi="Atkinson Hyperlegible" w:cs="Atkinson Hyperlegible"/>
          <w:b/>
        </w:rPr>
        <w:t>https://www.chaletcorvara.com/</w:t>
      </w:r>
    </w:p>
    <w:p w14:paraId="52ADB17F" w14:textId="77777777" w:rsidR="00AE079F" w:rsidRDefault="00136BB2">
      <w:pPr>
        <w:pStyle w:val="Titolo2"/>
      </w:pPr>
      <w:bookmarkStart w:id="2" w:name="_6proxz81pk6" w:colFirst="0" w:colLast="0"/>
      <w:bookmarkEnd w:id="2"/>
      <w:r>
        <w:t>Stato di conformità:</w:t>
      </w:r>
    </w:p>
    <w:p w14:paraId="52ADB180" w14:textId="77777777" w:rsidR="00AE079F" w:rsidRDefault="00136BB2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tkinson Hyperlegible" w:eastAsia="Atkinson Hyperlegible" w:hAnsi="Atkinson Hyperlegible" w:cs="Atkinson Hyperlegible"/>
          <w:sz w:val="26"/>
          <w:szCs w:val="26"/>
        </w:rPr>
      </w:pPr>
      <w:r>
        <w:rPr>
          <w:rFonts w:ascii="Atkinson Hyperlegible" w:eastAsia="Atkinson Hyperlegible" w:hAnsi="Atkinson Hyperlegible" w:cs="Atkinson Hyperlegible"/>
          <w:sz w:val="28"/>
          <w:szCs w:val="28"/>
        </w:rPr>
        <w:t>Parzialmente conforme</w:t>
      </w:r>
      <w:r>
        <w:rPr>
          <w:rFonts w:ascii="Atkinson Hyperlegible" w:eastAsia="Atkinson Hyperlegible" w:hAnsi="Atkinson Hyperlegible" w:cs="Atkinson Hyperlegible"/>
          <w:sz w:val="18"/>
          <w:szCs w:val="18"/>
        </w:rPr>
        <w:br/>
      </w:r>
      <w:r>
        <w:rPr>
          <w:rFonts w:ascii="Atkinson Hyperlegible" w:eastAsia="Atkinson Hyperlegible" w:hAnsi="Atkinson Hyperlegible" w:cs="Atkinson Hyperlegible"/>
        </w:rPr>
        <w:t>Questo sito web è parzialmente conforme ai requisiti previsti da</w:t>
      </w:r>
      <w:r>
        <w:rPr>
          <w:rFonts w:ascii="Atkinson Hyperlegible" w:eastAsia="Atkinson Hyperlegible" w:hAnsi="Atkinson Hyperlegible" w:cs="Atkinson Hyperlegible"/>
        </w:rPr>
        <w:t>ll’appendice A della norma UNI CEI EN 301549 in ragione dei casi di non conformità elencati di seguito</w:t>
      </w:r>
    </w:p>
    <w:p w14:paraId="52ADB181" w14:textId="77777777" w:rsidR="00AE079F" w:rsidRDefault="00AE079F">
      <w:pPr>
        <w:spacing w:after="240"/>
        <w:jc w:val="both"/>
        <w:rPr>
          <w:rFonts w:ascii="Atkinson Hyperlegible" w:eastAsia="Atkinson Hyperlegible" w:hAnsi="Atkinson Hyperlegible" w:cs="Atkinson Hyperlegible"/>
        </w:rPr>
      </w:pPr>
    </w:p>
    <w:p w14:paraId="52ADB182" w14:textId="77777777" w:rsidR="00AE079F" w:rsidRDefault="00136BB2">
      <w:pPr>
        <w:pStyle w:val="Titolo2"/>
        <w:spacing w:before="1"/>
      </w:pPr>
      <w:bookmarkStart w:id="3" w:name="_gqave7sfq637" w:colFirst="0" w:colLast="0"/>
      <w:bookmarkEnd w:id="3"/>
      <w:r>
        <w:t>Contenuti non accessibili</w:t>
      </w:r>
    </w:p>
    <w:p w14:paraId="52ADB183" w14:textId="77777777" w:rsidR="00AE079F" w:rsidRDefault="00136BB2">
      <w:pPr>
        <w:rPr>
          <w:rFonts w:ascii="Atkinson Hyperlegible" w:eastAsia="Atkinson Hyperlegible" w:hAnsi="Atkinson Hyperlegible" w:cs="Atkinson Hyperlegible"/>
        </w:rPr>
      </w:pPr>
      <w:r>
        <w:rPr>
          <w:rFonts w:ascii="Atkinson Hyperlegible" w:eastAsia="Atkinson Hyperlegible" w:hAnsi="Atkinson Hyperlegible" w:cs="Atkinson Hyperlegible"/>
        </w:rPr>
        <w:t xml:space="preserve">I contenuti di seguito elencati non sono accessibili per i seguenti motivi </w:t>
      </w:r>
      <w:r>
        <w:rPr>
          <w:rFonts w:ascii="Atkinson Hyperlegible" w:eastAsia="Atkinson Hyperlegible" w:hAnsi="Atkinson Hyperlegible" w:cs="Atkinson Hyperlegible"/>
        </w:rPr>
        <w:t>inosservanza della legge 9 gennaio 2004, n. 4:</w:t>
      </w:r>
    </w:p>
    <w:p w14:paraId="52ADB184" w14:textId="77777777" w:rsidR="00AE079F" w:rsidRDefault="00AE079F">
      <w:pPr>
        <w:jc w:val="both"/>
        <w:rPr>
          <w:rFonts w:ascii="Atkinson Hyperlegible" w:eastAsia="Atkinson Hyperlegible" w:hAnsi="Atkinson Hyperlegible" w:cs="Atkinson Hyperlegible"/>
        </w:rPr>
      </w:pPr>
    </w:p>
    <w:p w14:paraId="52ADB185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</w:t>
      </w:r>
      <w:r>
        <w:rPr>
          <w:rFonts w:ascii="Atkinson Hyperlegible" w:eastAsia="Atkinson Hyperlegible" w:hAnsi="Atkinson Hyperlegible" w:cs="Atkinson Hyperlegible"/>
        </w:rPr>
        <w:t>.1.1.1 - Alcuni contenuti non testuali presentati all'utente non hanno un'alternativa testuale equivalente che serva allo stesso scopo;</w:t>
      </w:r>
    </w:p>
    <w:p w14:paraId="52ADB186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C.9.1.3.1 - In alcuni casi, informazioni, struttura o correlazioni trasmesse dalla presentazione delle pagine, non posso</w:t>
      </w:r>
      <w:r>
        <w:rPr>
          <w:rFonts w:ascii="Atkinson Hyperlegible" w:eastAsia="Atkinson Hyperlegible" w:hAnsi="Atkinson Hyperlegible" w:cs="Atkinson Hyperlegible"/>
        </w:rPr>
        <w:t>no essere determinate programmaticamente (o non sono disponibili tramite testo);</w:t>
      </w:r>
    </w:p>
    <w:p w14:paraId="52ADB187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C.9.1.4.3 - La rappresentazione visiva del testo e di immagini contenenti testo non ha sempre il rapporto minimo di contrasto richiesto, salvo eccezioni previste della normati</w:t>
      </w:r>
      <w:r>
        <w:rPr>
          <w:rFonts w:ascii="Atkinson Hyperlegible" w:eastAsia="Atkinson Hyperlegible" w:hAnsi="Atkinson Hyperlegible" w:cs="Atkinson Hyperlegible"/>
        </w:rPr>
        <w:t>va (ES. i logotipi);</w:t>
      </w:r>
    </w:p>
    <w:p w14:paraId="52ADB188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C.9.1.4.4 - Alcuni testi, ad eccezione dei sottotitoli e delle immagini contenenti testo, non possono essere ridimensionati fino al 200 percento senza utilizzare tecnologie assistive e senza perdere contenuto e funzionalità;</w:t>
      </w:r>
    </w:p>
    <w:p w14:paraId="52ADB189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C.9.1.4.10</w:t>
      </w:r>
      <w:r>
        <w:rPr>
          <w:rFonts w:ascii="Atkinson Hyperlegible" w:eastAsia="Atkinson Hyperlegible" w:hAnsi="Atkinson Hyperlegible" w:cs="Atkinson Hyperlegible"/>
        </w:rPr>
        <w:t xml:space="preserve"> - Il contenuto che non richiede una rappresentazione in due dimensioni (come tabelle di dati o mappe) non si ridispone quando cambia la dimensione visualizzata dal programma utente;</w:t>
      </w:r>
    </w:p>
    <w:p w14:paraId="52ADB18A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C.9.2.1.1 - Alcune funzionalità non possono essere utilizzabili tramite tastiera (o interfaccia con input analogo);</w:t>
      </w:r>
    </w:p>
    <w:p w14:paraId="52ADB18B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C.9.2.4.1 - Manca un meccanismo per saltare i blocchi di contenuto che si ripetono su più pagine Web;</w:t>
      </w:r>
    </w:p>
    <w:p w14:paraId="52ADB18C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C.9.2.4.3 - In alcune pagine Web che p</w:t>
      </w:r>
      <w:r>
        <w:rPr>
          <w:rFonts w:ascii="Atkinson Hyperlegible" w:eastAsia="Atkinson Hyperlegible" w:hAnsi="Atkinson Hyperlegible" w:cs="Atkinson Hyperlegible"/>
        </w:rPr>
        <w:t>ossono essere navigate in modo sequenziale e in cui la sequenza di navigazione influisce sul loro significato e sul loro funzionamento, alcuni oggetti che potrebbero ricevere il focus non lo ricevono con un ordine tale da conservarne il senso e l'operativi</w:t>
      </w:r>
      <w:r>
        <w:rPr>
          <w:rFonts w:ascii="Atkinson Hyperlegible" w:eastAsia="Atkinson Hyperlegible" w:hAnsi="Atkinson Hyperlegible" w:cs="Atkinson Hyperlegible"/>
        </w:rPr>
        <w:t>tà;</w:t>
      </w:r>
    </w:p>
    <w:p w14:paraId="52ADB18D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C.9.2.4.4 - Lo scopo di alcuni collegamenti non può essere determinato dal testo del collegamento oppure dal testo del collegamento insieme a dei contenuti adiacenti;</w:t>
      </w:r>
    </w:p>
    <w:p w14:paraId="52ADB18E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C.9.2.4.7 - Su alcuni elementi interattivi non è visibile l'indicatore del focus;</w:t>
      </w:r>
    </w:p>
    <w:p w14:paraId="52ADB18F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lastRenderedPageBreak/>
        <w:t>C.9.3.3.2 - In alcuni casi non sono fornite etichette o istruzioni quando il contenuto richiede azioni di input da parte dell'utente;</w:t>
      </w:r>
    </w:p>
    <w:p w14:paraId="52ADB190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C.9.4.1.2 - In alcuni casi i componenti dell'interfaccia utente (fra cui: elementi di un modulo, collegamenti e componenti</w:t>
      </w:r>
      <w:r>
        <w:rPr>
          <w:rFonts w:ascii="Atkinson Hyperlegible" w:eastAsia="Atkinson Hyperlegible" w:hAnsi="Atkinson Hyperlegible" w:cs="Atkinson Hyperlegible"/>
        </w:rPr>
        <w:t xml:space="preserve"> generati da script…), nome, ruolo, stati, proprietà e valori non sono corretti o impostati o non è avvisato l'utente e le sue tecnologie assistive quando questi cambiano;</w:t>
      </w:r>
    </w:p>
    <w:p w14:paraId="52ADB191" w14:textId="77777777" w:rsidR="00AE079F" w:rsidRDefault="0013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tkinson Hyperlegible" w:eastAsia="Atkinson Hyperlegible" w:hAnsi="Atkinson Hyperlegible" w:cs="Atkinson Hyperlegible"/>
        </w:rPr>
        <w:t>C.9.4.1.3 - In alcuni casi i messaggi di stato non sono presentati all'utente in mod</w:t>
      </w:r>
      <w:r>
        <w:rPr>
          <w:rFonts w:ascii="Atkinson Hyperlegible" w:eastAsia="Atkinson Hyperlegible" w:hAnsi="Atkinson Hyperlegible" w:cs="Atkinson Hyperlegible"/>
        </w:rPr>
        <w:t>o che le tecnologie assistive li interpretino senza dover spostare il focus;</w:t>
      </w:r>
    </w:p>
    <w:p w14:paraId="52ADB192" w14:textId="77777777" w:rsidR="00AE079F" w:rsidRDefault="00AE079F">
      <w:pPr>
        <w:jc w:val="both"/>
        <w:rPr>
          <w:rFonts w:ascii="Atkinson Hyperlegible" w:eastAsia="Atkinson Hyperlegible" w:hAnsi="Atkinson Hyperlegible" w:cs="Atkinson Hyperlegible"/>
        </w:rPr>
      </w:pPr>
    </w:p>
    <w:p w14:paraId="52ADB193" w14:textId="77777777" w:rsidR="00AE079F" w:rsidRDefault="00AE079F">
      <w:pPr>
        <w:pBdr>
          <w:top w:val="nil"/>
          <w:left w:val="nil"/>
          <w:bottom w:val="nil"/>
          <w:right w:val="nil"/>
          <w:between w:val="nil"/>
        </w:pBdr>
        <w:spacing w:after="240"/>
        <w:ind w:left="1080"/>
        <w:jc w:val="both"/>
        <w:rPr>
          <w:rFonts w:ascii="Atkinson Hyperlegible" w:eastAsia="Atkinson Hyperlegible" w:hAnsi="Atkinson Hyperlegible" w:cs="Atkinson Hyperlegible"/>
        </w:rPr>
      </w:pPr>
    </w:p>
    <w:p w14:paraId="52ADB197" w14:textId="77777777" w:rsidR="00AE079F" w:rsidRDefault="00136BB2">
      <w:pPr>
        <w:pStyle w:val="Titolo2"/>
      </w:pPr>
      <w:bookmarkStart w:id="4" w:name="_sbk9ezky8p8c" w:colFirst="0" w:colLast="0"/>
      <w:bookmarkEnd w:id="4"/>
      <w:r>
        <w:t>Redazione della dichiarazione di accessibilità</w:t>
      </w:r>
    </w:p>
    <w:p w14:paraId="52ADB198" w14:textId="77777777" w:rsidR="00AE079F" w:rsidRDefault="00136BB2">
      <w:pPr>
        <w:spacing w:after="240"/>
        <w:rPr>
          <w:rFonts w:ascii="Atkinson Hyperlegible" w:eastAsia="Atkinson Hyperlegible" w:hAnsi="Atkinson Hyperlegible" w:cs="Atkinson Hyperlegible"/>
        </w:rPr>
      </w:pPr>
      <w:r>
        <w:rPr>
          <w:rFonts w:ascii="Atkinson Hyperlegible" w:eastAsia="Atkinson Hyperlegible" w:hAnsi="Atkinson Hyperlegible" w:cs="Atkinson Hyperlegible"/>
        </w:rPr>
        <w:t>La presente dichiarazione è stata redatta il</w:t>
      </w:r>
      <w:r>
        <w:rPr>
          <w:rFonts w:ascii="Atkinson Hyperlegible" w:eastAsia="Atkinson Hyperlegible" w:hAnsi="Atkinson Hyperlegible" w:cs="Atkinson Hyperlegible"/>
          <w:b/>
        </w:rPr>
        <w:t xml:space="preserve"> 27/10/2023.</w:t>
      </w:r>
      <w:r>
        <w:rPr>
          <w:rFonts w:ascii="Atkinson Hyperlegible" w:eastAsia="Atkinson Hyperlegible" w:hAnsi="Atkinson Hyperlegible" w:cs="Atkinson Hyperlegible"/>
          <w:b/>
          <w:sz w:val="26"/>
          <w:szCs w:val="26"/>
        </w:rPr>
        <w:br/>
      </w:r>
      <w:r>
        <w:rPr>
          <w:rFonts w:ascii="Atkinson Hyperlegible" w:eastAsia="Atkinson Hyperlegible" w:hAnsi="Atkinson Hyperlegible" w:cs="Atkinson Hyperlegible"/>
          <w:b/>
          <w:sz w:val="26"/>
          <w:szCs w:val="26"/>
        </w:rPr>
        <w:br/>
      </w:r>
      <w:r>
        <w:rPr>
          <w:rFonts w:ascii="Atkinson Hyperlegible" w:eastAsia="Atkinson Hyperlegible" w:hAnsi="Atkinson Hyperlegible" w:cs="Atkinson Hyperlegible"/>
        </w:rPr>
        <w:t>La valutazione è stata</w:t>
      </w:r>
      <w:r>
        <w:rPr>
          <w:rFonts w:ascii="Atkinson Hyperlegible" w:eastAsia="Atkinson Hyperlegible" w:hAnsi="Atkinson Hyperlegible" w:cs="Atkinson Hyperlegible"/>
          <w:b/>
        </w:rPr>
        <w:t xml:space="preserve"> effettuata da terzi</w:t>
      </w:r>
      <w:r>
        <w:rPr>
          <w:rFonts w:ascii="Atkinson Hyperlegible" w:eastAsia="Atkinson Hyperlegible" w:hAnsi="Atkinson Hyperlegible" w:cs="Atkinson Hyperlegible"/>
        </w:rPr>
        <w:t xml:space="preserve"> tramite analisi oggettive e soggettive (cfr. l'articolo 3, paragrafo 1, della decisione di esecuzione UE 2018/1523 della Commissione).</w:t>
      </w:r>
      <w:r>
        <w:rPr>
          <w:rFonts w:ascii="Atkinson Hyperlegible" w:eastAsia="Atkinson Hyperlegible" w:hAnsi="Atkinson Hyperlegible" w:cs="Atkinson Hyperlegible"/>
          <w:i/>
          <w:sz w:val="27"/>
          <w:szCs w:val="27"/>
        </w:rPr>
        <w:br/>
      </w:r>
      <w:r>
        <w:rPr>
          <w:rFonts w:ascii="Atkinson Hyperlegible" w:eastAsia="Atkinson Hyperlegible" w:hAnsi="Atkinson Hyperlegible" w:cs="Atkinson Hyperlegible"/>
          <w:b/>
          <w:sz w:val="26"/>
          <w:szCs w:val="26"/>
        </w:rPr>
        <w:br/>
      </w:r>
      <w:r>
        <w:rPr>
          <w:rFonts w:ascii="Atkinson Hyperlegible" w:eastAsia="Atkinson Hyperlegible" w:hAnsi="Atkinson Hyperlegible" w:cs="Atkinson Hyperlegible"/>
        </w:rPr>
        <w:t xml:space="preserve">La dichiarazione è stata riesaminata da ultimo il </w:t>
      </w:r>
      <w:r>
        <w:rPr>
          <w:rFonts w:ascii="Atkinson Hyperlegible" w:eastAsia="Atkinson Hyperlegible" w:hAnsi="Atkinson Hyperlegible" w:cs="Atkinson Hyperlegible"/>
          <w:b/>
        </w:rPr>
        <w:t>27/10/2023</w:t>
      </w:r>
      <w:r>
        <w:rPr>
          <w:rFonts w:ascii="Atkinson Hyperlegible" w:eastAsia="Atkinson Hyperlegible" w:hAnsi="Atkinson Hyperlegible" w:cs="Atkinson Hyperlegible"/>
        </w:rPr>
        <w:t>, rispettando la raccomandazione di riesaminare periodicame</w:t>
      </w:r>
      <w:r>
        <w:rPr>
          <w:rFonts w:ascii="Atkinson Hyperlegible" w:eastAsia="Atkinson Hyperlegible" w:hAnsi="Atkinson Hyperlegible" w:cs="Atkinson Hyperlegible"/>
        </w:rPr>
        <w:t>nte (con frequenza almeno annuale) l’esattezza delle affermazioni contenute nella presente dichiarazione di accessibilità.</w:t>
      </w:r>
    </w:p>
    <w:p w14:paraId="52ADB199" w14:textId="77777777" w:rsidR="00AE079F" w:rsidRDefault="00136BB2">
      <w:pPr>
        <w:pStyle w:val="Titolo1"/>
      </w:pPr>
      <w:bookmarkStart w:id="5" w:name="_rv2m8cx42adn" w:colFirst="0" w:colLast="0"/>
      <w:bookmarkEnd w:id="5"/>
      <w:r>
        <w:t>Feedback e informazioni di contatto</w:t>
      </w:r>
    </w:p>
    <w:p w14:paraId="52ADB19B" w14:textId="2FEC557B" w:rsidR="00AE079F" w:rsidRDefault="00136BB2">
      <w:pPr>
        <w:spacing w:before="240" w:after="240"/>
        <w:rPr>
          <w:rFonts w:ascii="Atkinson Hyperlegible" w:eastAsia="Atkinson Hyperlegible" w:hAnsi="Atkinson Hyperlegible" w:cs="Atkinson Hyperlegible"/>
          <w:i/>
        </w:rPr>
      </w:pPr>
      <w:r w:rsidRPr="00576CAA">
        <w:rPr>
          <w:rFonts w:ascii="Atkinson Hyperlegible" w:eastAsia="Atkinson Hyperlegible" w:hAnsi="Atkinson Hyperlegible" w:cs="Atkinson Hyperlegible"/>
        </w:rPr>
        <w:t>P</w:t>
      </w:r>
      <w:r>
        <w:rPr>
          <w:rFonts w:ascii="Atkinson Hyperlegible" w:eastAsia="Atkinson Hyperlegible" w:hAnsi="Atkinson Hyperlegible" w:cs="Atkinson Hyperlegible"/>
        </w:rPr>
        <w:t>er qualsiasi richiesta relativa all’accessibilità del sito è possibile inviare una e-mail all’indirizzo: accessibility@rana.it</w:t>
      </w:r>
      <w:r>
        <w:t xml:space="preserve"> </w:t>
      </w:r>
      <w:r>
        <w:br w:type="page"/>
      </w:r>
    </w:p>
    <w:p w14:paraId="52ADB19C" w14:textId="77777777" w:rsidR="00AE079F" w:rsidRDefault="00AE079F">
      <w:pPr>
        <w:spacing w:before="240" w:after="240"/>
        <w:rPr>
          <w:rFonts w:ascii="Atkinson Hyperlegible" w:eastAsia="Atkinson Hyperlegible" w:hAnsi="Atkinson Hyperlegible" w:cs="Atkinson Hyperlegible"/>
          <w:i/>
        </w:rPr>
      </w:pPr>
    </w:p>
    <w:p w14:paraId="52ADB19D" w14:textId="77777777" w:rsidR="00AE079F" w:rsidRDefault="00136BB2">
      <w:pPr>
        <w:pStyle w:val="Titolo2"/>
        <w:spacing w:before="1"/>
      </w:pPr>
      <w:bookmarkStart w:id="6" w:name="_fmzwyywpjjjq" w:colFirst="0" w:colLast="0"/>
      <w:bookmarkEnd w:id="6"/>
      <w:r>
        <w:t>Modalità di invio delle segnalazioni all’AgID</w:t>
      </w:r>
    </w:p>
    <w:p w14:paraId="52ADB19E" w14:textId="77777777" w:rsidR="00AE079F" w:rsidRDefault="00136BB2">
      <w:pPr>
        <w:spacing w:after="240"/>
        <w:rPr>
          <w:rFonts w:ascii="Atkinson Hyperlegible" w:eastAsia="Atkinson Hyperlegible" w:hAnsi="Atkinson Hyperlegible" w:cs="Atkinson Hyperlegible"/>
          <w:b/>
          <w:u w:val="single"/>
        </w:rPr>
      </w:pPr>
      <w:r>
        <w:rPr>
          <w:rFonts w:ascii="Atkinson Hyperlegible" w:eastAsia="Atkinson Hyperlegible" w:hAnsi="Atkinson Hyperlegible" w:cs="Atkinson Hyperlegible"/>
        </w:rPr>
        <w:t>In caso di risposta insoddisfacente o di mancata risposta, nel t</w:t>
      </w:r>
      <w:r>
        <w:rPr>
          <w:rFonts w:ascii="Atkinson Hyperlegible" w:eastAsia="Atkinson Hyperlegible" w:hAnsi="Atkinson Hyperlegible" w:cs="Atkinson Hyperlegible"/>
        </w:rPr>
        <w:t xml:space="preserve">ermine di trenta giorni, alla notifica o alla richiesta, l’interessato può inoltrare una segnalazione ad AgID, tramite pec, al seguente indirizzo: </w:t>
      </w:r>
      <w:r>
        <w:rPr>
          <w:rFonts w:ascii="Atkinson Hyperlegible" w:eastAsia="Atkinson Hyperlegible" w:hAnsi="Atkinson Hyperlegible" w:cs="Atkinson Hyperlegible"/>
          <w:b/>
          <w:u w:val="single"/>
        </w:rPr>
        <w:t>protocollo@pec.agid.gov.it</w:t>
      </w:r>
      <w:bookmarkStart w:id="7" w:name="_GoBack"/>
      <w:bookmarkEnd w:id="7"/>
    </w:p>
    <w:sectPr w:rsidR="00AE079F">
      <w:headerReference w:type="default" r:id="rId7"/>
      <w:footerReference w:type="default" r:id="rId8"/>
      <w:pgSz w:w="12240" w:h="15840"/>
      <w:pgMar w:top="1640" w:right="1240" w:bottom="340" w:left="1320" w:header="77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B1AC" w14:textId="77777777" w:rsidR="00000000" w:rsidRDefault="00136BB2">
      <w:r>
        <w:separator/>
      </w:r>
    </w:p>
  </w:endnote>
  <w:endnote w:type="continuationSeparator" w:id="0">
    <w:p w14:paraId="52ADB1AE" w14:textId="77777777" w:rsidR="00000000" w:rsidRDefault="001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kinson Hyperlegib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B1A7" w14:textId="77777777" w:rsidR="00AE079F" w:rsidRDefault="00136BB2">
    <w:pPr>
      <w:spacing w:before="298"/>
      <w:ind w:left="303" w:right="421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AGID </w:t>
    </w:r>
    <w:r>
      <w:rPr>
        <w:rFonts w:ascii="Calibri" w:eastAsia="Calibri" w:hAnsi="Calibri" w:cs="Calibri"/>
        <w:b/>
        <w:color w:val="0066CC"/>
      </w:rPr>
      <w:t xml:space="preserve">| </w:t>
    </w:r>
    <w:r>
      <w:rPr>
        <w:rFonts w:ascii="Calibri" w:eastAsia="Calibri" w:hAnsi="Calibri" w:cs="Calibri"/>
        <w:b/>
      </w:rPr>
      <w:t xml:space="preserve">via Liszt, 21 – 00144 Roma </w:t>
    </w:r>
    <w:r>
      <w:rPr>
        <w:rFonts w:ascii="Calibri" w:eastAsia="Calibri" w:hAnsi="Calibri" w:cs="Calibri"/>
        <w:b/>
        <w:color w:val="0066CC"/>
      </w:rPr>
      <w:t xml:space="preserve">| </w:t>
    </w:r>
    <w:r>
      <w:rPr>
        <w:rFonts w:ascii="Calibri" w:eastAsia="Calibri" w:hAnsi="Calibri" w:cs="Calibri"/>
        <w:b/>
      </w:rPr>
      <w:t xml:space="preserve">protocollo@pec.agid.gov.it </w:t>
    </w:r>
    <w:r>
      <w:rPr>
        <w:rFonts w:ascii="Calibri" w:eastAsia="Calibri" w:hAnsi="Calibri" w:cs="Calibri"/>
        <w:b/>
        <w:color w:val="0066CC"/>
      </w:rPr>
      <w:t xml:space="preserve">| </w:t>
    </w:r>
    <w:r>
      <w:rPr>
        <w:rFonts w:ascii="Calibri" w:eastAsia="Calibri" w:hAnsi="Calibri" w:cs="Calibri"/>
        <w:b/>
        <w:color w:val="1153CC"/>
        <w:u w:val="single"/>
      </w:rPr>
      <w:t>www.agid.gov.it</w:t>
    </w:r>
    <w:r>
      <w:rPr>
        <w:rFonts w:ascii="Calibri" w:eastAsia="Calibri" w:hAnsi="Calibri" w:cs="Calibri"/>
        <w:b/>
        <w:color w:val="1153CC"/>
      </w:rPr>
      <w:t xml:space="preserve"> </w:t>
    </w:r>
    <w:r>
      <w:rPr>
        <w:rFonts w:ascii="Calibri" w:eastAsia="Calibri" w:hAnsi="Calibri" w:cs="Calibri"/>
        <w:b/>
        <w:color w:val="0066CC"/>
      </w:rPr>
      <w:t xml:space="preserve">| </w:t>
    </w:r>
    <w:r>
      <w:rPr>
        <w:rFonts w:ascii="Calibri" w:eastAsia="Calibri" w:hAnsi="Calibri" w:cs="Calibri"/>
        <w:b/>
      </w:rPr>
      <w:t>tel. 06 85264.1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B1A8" w14:textId="77777777" w:rsidR="00000000" w:rsidRDefault="00136BB2">
      <w:r>
        <w:separator/>
      </w:r>
    </w:p>
  </w:footnote>
  <w:footnote w:type="continuationSeparator" w:id="0">
    <w:p w14:paraId="52ADB1AA" w14:textId="77777777" w:rsidR="00000000" w:rsidRDefault="0013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B1A6" w14:textId="77777777" w:rsidR="00AE079F" w:rsidRDefault="00136B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2ADB1A8" wp14:editId="52ADB1A9">
          <wp:simplePos x="0" y="0"/>
          <wp:positionH relativeFrom="page">
            <wp:posOffset>914400</wp:posOffset>
          </wp:positionH>
          <wp:positionV relativeFrom="page">
            <wp:posOffset>490219</wp:posOffset>
          </wp:positionV>
          <wp:extent cx="2194559" cy="320039"/>
          <wp:effectExtent l="0" t="0" r="0" b="0"/>
          <wp:wrapNone/>
          <wp:docPr id="1" name="image1.png" descr="AGID - Agenzia per l'Italia digi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GID - Agenzia per l'Italia digi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59" cy="3200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F0F"/>
    <w:multiLevelType w:val="multilevel"/>
    <w:tmpl w:val="A46EB3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B3B1CD4"/>
    <w:multiLevelType w:val="multilevel"/>
    <w:tmpl w:val="65EC89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56F9"/>
    <w:multiLevelType w:val="multilevel"/>
    <w:tmpl w:val="C0BC853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F"/>
    <w:rsid w:val="00136BB2"/>
    <w:rsid w:val="00A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17C"/>
  <w15:docId w15:val="{4A764EC1-B38C-4409-95AB-FA2A4A2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 w:after="240"/>
      <w:jc w:val="both"/>
      <w:outlineLvl w:val="0"/>
    </w:pPr>
    <w:rPr>
      <w:rFonts w:ascii="Atkinson Hyperlegible" w:eastAsia="Atkinson Hyperlegible" w:hAnsi="Atkinson Hyperlegible" w:cs="Atkinson Hyperlegible"/>
      <w:sz w:val="32"/>
      <w:szCs w:val="32"/>
    </w:rPr>
  </w:style>
  <w:style w:type="paragraph" w:styleId="Titolo2">
    <w:name w:val="heading 2"/>
    <w:basedOn w:val="Normale"/>
    <w:next w:val="Normale"/>
    <w:pPr>
      <w:spacing w:after="240"/>
      <w:jc w:val="both"/>
      <w:outlineLvl w:val="1"/>
    </w:pPr>
    <w:rPr>
      <w:rFonts w:ascii="Atkinson Hyperlegible" w:eastAsia="Atkinson Hyperlegible" w:hAnsi="Atkinson Hyperlegible" w:cs="Atkinson Hyperlegible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/>
      <w:jc w:val="center"/>
    </w:pPr>
    <w:rPr>
      <w:rFonts w:ascii="Atkinson Hyperlegible" w:eastAsia="Atkinson Hyperlegible" w:hAnsi="Atkinson Hyperlegible" w:cs="Atkinson Hyperlegible"/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Tognizioli</cp:lastModifiedBy>
  <cp:revision>2</cp:revision>
  <dcterms:created xsi:type="dcterms:W3CDTF">2023-11-14T08:12:00Z</dcterms:created>
  <dcterms:modified xsi:type="dcterms:W3CDTF">2023-11-14T08:14:00Z</dcterms:modified>
</cp:coreProperties>
</file>